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</w:pPr>
      <w:r>
        <w:rPr>
          <w:rtl w:val="0"/>
        </w:rPr>
        <w:t xml:space="preserve">Календарный план коммитета по цифровизации на </w:t>
      </w:r>
      <w:r>
        <w:rPr>
          <w:rtl w:val="0"/>
        </w:rPr>
        <w:t xml:space="preserve">2022 </w:t>
      </w:r>
      <w:r>
        <w:rPr>
          <w:rtl w:val="0"/>
        </w:rPr>
        <w:t>г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103"/>
        <w:gridCol w:w="1104"/>
        <w:gridCol w:w="1216"/>
        <w:gridCol w:w="3155"/>
        <w:gridCol w:w="1052"/>
      </w:tblGrid>
      <w:tr>
        <w:tblPrEx>
          <w:shd w:val="clear" w:color="auto" w:fill="bdc0bf"/>
        </w:tblPrEx>
        <w:trPr>
          <w:trHeight w:val="725" w:hRule="atLeast"/>
          <w:tblHeader/>
        </w:trPr>
        <w:tc>
          <w:tcPr>
            <w:tcW w:type="dxa" w:w="3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jc w:val="center"/>
            </w:pPr>
            <w:r>
              <w:rPr>
                <w:rFonts w:ascii="Helvetica Neue" w:hAnsi="Helvetica Neue" w:hint="default"/>
                <w:rtl w:val="0"/>
              </w:rPr>
              <w:t>Наименование мероприятия</w:t>
            </w:r>
          </w:p>
        </w:tc>
        <w:tc>
          <w:tcPr>
            <w:tcW w:type="dxa" w:w="1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1"/>
              <w:jc w:val="center"/>
            </w:pPr>
            <w:r>
              <w:rPr>
                <w:rFonts w:ascii="Helvetica Neue" w:hAnsi="Helvetica Neue" w:hint="default"/>
                <w:rtl w:val="0"/>
              </w:rPr>
              <w:t>Формат проведения</w:t>
            </w:r>
          </w:p>
        </w:tc>
        <w:tc>
          <w:tcPr>
            <w:tcW w:type="dxa" w:w="1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1"/>
              <w:jc w:val="center"/>
            </w:pPr>
            <w:r>
              <w:rPr>
                <w:rFonts w:ascii="Helvetica Neue" w:hAnsi="Helvetica Neue" w:hint="default"/>
                <w:rtl w:val="0"/>
              </w:rPr>
              <w:t>Даты реализации</w:t>
            </w:r>
          </w:p>
        </w:tc>
        <w:tc>
          <w:tcPr>
            <w:tcW w:type="dxa" w:w="31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jc w:val="center"/>
            </w:pPr>
            <w:r>
              <w:rPr>
                <w:rFonts w:ascii="Helvetica Neue" w:hAnsi="Helvetica Neue" w:hint="default"/>
                <w:rtl w:val="0"/>
              </w:rPr>
              <w:t>Результаты работы комитета</w:t>
            </w:r>
          </w:p>
        </w:tc>
        <w:tc>
          <w:tcPr>
            <w:tcW w:type="dxa" w:w="10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jc w:val="center"/>
            </w:pPr>
            <w:r>
              <w:rPr>
                <w:rFonts w:ascii="Helvetica Neue" w:hAnsi="Helvetica Neue" w:hint="default"/>
                <w:rtl w:val="0"/>
              </w:rPr>
              <w:t>Примечания</w:t>
            </w:r>
          </w:p>
        </w:tc>
      </w:tr>
      <w:tr>
        <w:tblPrEx>
          <w:shd w:val="clear" w:color="auto" w:fill="auto"/>
        </w:tblPrEx>
        <w:trPr>
          <w:trHeight w:val="1925" w:hRule="atLeast"/>
        </w:trPr>
        <w:tc>
          <w:tcPr>
            <w:tcW w:type="dxa" w:w="3103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jc w:val="left"/>
            </w:pPr>
            <w:r>
              <w:rPr>
                <w:rFonts w:ascii="Helvetica Neue" w:hAnsi="Helvetica Neue" w:hint="default"/>
                <w:rtl w:val="0"/>
              </w:rPr>
              <w:t xml:space="preserve">Информирование членов СРО о политике государственных структур в том числе требования </w:t>
            </w:r>
          </w:p>
        </w:tc>
        <w:tc>
          <w:tcPr>
            <w:tcW w:type="dxa" w:w="11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 w:hint="default"/>
                <w:rtl w:val="0"/>
              </w:rPr>
              <w:t>Онлайн</w:t>
            </w:r>
          </w:p>
        </w:tc>
        <w:tc>
          <w:tcPr>
            <w:tcW w:type="dxa" w:w="121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 w:hint="default"/>
                <w:rtl w:val="0"/>
              </w:rPr>
              <w:t>Один раз в квартал</w:t>
            </w:r>
            <w:r>
              <w:rPr>
                <w:rFonts w:ascii="Helvetica Neue" w:hAnsi="Helvetica Neue"/>
                <w:rtl w:val="0"/>
              </w:rPr>
              <w:t xml:space="preserve">. </w:t>
            </w:r>
          </w:p>
        </w:tc>
        <w:tc>
          <w:tcPr>
            <w:tcW w:type="dxa" w:w="315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numPr>
                <w:ilvl w:val="0"/>
                <w:numId w:val="1"/>
              </w:numPr>
              <w:bidi w:val="0"/>
            </w:pPr>
            <w:r>
              <w:rPr>
                <w:rFonts w:cs="Arial Unicode MS" w:eastAsia="Arial Unicode MS" w:hint="default"/>
                <w:rtl w:val="0"/>
                <w:lang w:val="ru-RU"/>
              </w:rPr>
              <w:t>Проектные компании информированы о политках гос структур</w:t>
            </w:r>
          </w:p>
          <w:p>
            <w:pPr>
              <w:pStyle w:val="Стиль таблицы 2"/>
              <w:numPr>
                <w:ilvl w:val="0"/>
                <w:numId w:val="1"/>
              </w:numPr>
              <w:bidi w:val="0"/>
            </w:pPr>
            <w:r>
              <w:rPr>
                <w:rFonts w:cs="Arial Unicode MS" w:eastAsia="Arial Unicode MS" w:hint="default"/>
                <w:rtl w:val="0"/>
                <w:lang w:val="ru-RU"/>
              </w:rPr>
              <w:t>На сайте СРО размещены ссылки на официальные документы</w:t>
            </w:r>
            <w:r>
              <w:rPr>
                <w:rFonts w:cs="Arial Unicode MS" w:eastAsia="Arial Unicode MS"/>
                <w:rtl w:val="0"/>
                <w:lang w:val="ru-RU"/>
              </w:rPr>
              <w:t>.</w:t>
            </w:r>
          </w:p>
          <w:p>
            <w:pPr>
              <w:pStyle w:val="Стиль таблицы 2"/>
              <w:numPr>
                <w:ilvl w:val="0"/>
                <w:numId w:val="1"/>
              </w:numPr>
              <w:bidi w:val="0"/>
            </w:pPr>
            <w:r>
              <w:rPr>
                <w:rFonts w:cs="Arial Unicode MS" w:eastAsia="Arial Unicode MS" w:hint="default"/>
                <w:rtl w:val="0"/>
                <w:lang w:val="ru-RU"/>
              </w:rPr>
              <w:t>На сайте СРО размещена ссылка на вебинар</w:t>
            </w:r>
          </w:p>
        </w:tc>
        <w:tc>
          <w:tcPr>
            <w:tcW w:type="dxa" w:w="105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1" w:hRule="atLeast"/>
        </w:trPr>
        <w:tc>
          <w:tcPr>
            <w:tcW w:type="dxa" w:w="3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Информирование членов СРО о требованиях к специалистам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которые вовлечены в цифровые направления в проектировании</w:t>
            </w:r>
          </w:p>
        </w:tc>
        <w:tc>
          <w:tcPr>
            <w:tcW w:type="dxa" w:w="11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 w:hint="default"/>
                <w:rtl w:val="0"/>
              </w:rPr>
              <w:t>Онлайн</w:t>
            </w:r>
          </w:p>
        </w:tc>
        <w:tc>
          <w:tcPr>
            <w:tcW w:type="dxa" w:w="1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 w:hint="default"/>
                <w:rtl w:val="0"/>
              </w:rPr>
              <w:t>Один раз в квартал</w:t>
            </w:r>
            <w:r>
              <w:rPr>
                <w:rFonts w:ascii="Helvetica Neue" w:hAnsi="Helvetica Neue"/>
                <w:rtl w:val="0"/>
              </w:rPr>
              <w:t xml:space="preserve">. </w:t>
            </w:r>
          </w:p>
        </w:tc>
        <w:tc>
          <w:tcPr>
            <w:tcW w:type="dxa" w:w="31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numPr>
                <w:ilvl w:val="0"/>
                <w:numId w:val="2"/>
              </w:numPr>
              <w:bidi w:val="0"/>
            </w:pPr>
            <w:r>
              <w:rPr>
                <w:rFonts w:cs="Arial Unicode MS" w:eastAsia="Arial Unicode MS" w:hint="default"/>
                <w:rtl w:val="0"/>
                <w:lang w:val="ru-RU"/>
              </w:rPr>
              <w:t>Проектные компании информированы о требованиях к специалистам и как контролировать квалификацию специалистов</w:t>
            </w:r>
          </w:p>
          <w:p>
            <w:pPr>
              <w:pStyle w:val="Стиль таблицы 2"/>
              <w:numPr>
                <w:ilvl w:val="0"/>
                <w:numId w:val="2"/>
              </w:numPr>
              <w:bidi w:val="0"/>
            </w:pPr>
            <w:r>
              <w:rPr>
                <w:rFonts w:cs="Arial Unicode MS" w:eastAsia="Arial Unicode MS" w:hint="default"/>
                <w:rtl w:val="0"/>
                <w:lang w:val="ru-RU"/>
              </w:rPr>
              <w:t>На сайте СРО размещены ссылки на официальные документы</w:t>
            </w:r>
            <w:r>
              <w:rPr>
                <w:rFonts w:cs="Arial Unicode MS" w:eastAsia="Arial Unicode MS"/>
                <w:rtl w:val="0"/>
                <w:lang w:val="ru-RU"/>
              </w:rPr>
              <w:t>.</w:t>
            </w:r>
          </w:p>
          <w:p>
            <w:pPr>
              <w:pStyle w:val="Стиль таблицы 2"/>
              <w:numPr>
                <w:ilvl w:val="0"/>
                <w:numId w:val="2"/>
              </w:numPr>
              <w:bidi w:val="0"/>
            </w:pPr>
            <w:r>
              <w:rPr>
                <w:rFonts w:cs="Arial Unicode MS" w:eastAsia="Arial Unicode MS" w:hint="default"/>
                <w:rtl w:val="0"/>
                <w:lang w:val="ru-RU"/>
              </w:rPr>
              <w:t>На сайте СРО размещена ссылка на вебинар</w:t>
            </w:r>
          </w:p>
        </w:tc>
        <w:tc>
          <w:tcPr>
            <w:tcW w:type="dxa" w:w="10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21" w:hRule="atLeast"/>
        </w:trPr>
        <w:tc>
          <w:tcPr>
            <w:tcW w:type="dxa" w:w="3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Информирование членов СРО о новых материалах и оборудовании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которые могут быть применены в проектах в виде цифровых моделей или систем автоматизированного проектирования</w:t>
            </w:r>
          </w:p>
        </w:tc>
        <w:tc>
          <w:tcPr>
            <w:tcW w:type="dxa" w:w="11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 w:hint="default"/>
                <w:rtl w:val="0"/>
              </w:rPr>
              <w:t>Онлайн</w:t>
            </w:r>
          </w:p>
        </w:tc>
        <w:tc>
          <w:tcPr>
            <w:tcW w:type="dxa" w:w="1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 w:hint="default"/>
                <w:rtl w:val="0"/>
              </w:rPr>
              <w:t>Один раз в квартал</w:t>
            </w:r>
            <w:r>
              <w:rPr>
                <w:rFonts w:ascii="Helvetica Neue" w:hAnsi="Helvetica Neue"/>
                <w:rtl w:val="0"/>
              </w:rPr>
              <w:t xml:space="preserve">. </w:t>
            </w:r>
          </w:p>
        </w:tc>
        <w:tc>
          <w:tcPr>
            <w:tcW w:type="dxa" w:w="31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numPr>
                <w:ilvl w:val="0"/>
                <w:numId w:val="3"/>
              </w:numPr>
              <w:bidi w:val="0"/>
            </w:pPr>
            <w:r>
              <w:rPr>
                <w:rFonts w:cs="Arial Unicode MS" w:eastAsia="Arial Unicode MS" w:hint="default"/>
                <w:rtl w:val="0"/>
                <w:lang w:val="ru-RU"/>
              </w:rPr>
              <w:t>Проектные компании информированы и получили доступ к ресурсам</w:t>
            </w:r>
            <w:r>
              <w:rPr>
                <w:rFonts w:cs="Arial Unicode MS" w:eastAsia="Arial Unicode MS"/>
                <w:rtl w:val="0"/>
              </w:rPr>
              <w:t xml:space="preserve">, </w:t>
            </w:r>
            <w:r>
              <w:rPr>
                <w:rFonts w:cs="Arial Unicode MS" w:eastAsia="Arial Unicode MS" w:hint="default"/>
                <w:rtl w:val="0"/>
                <w:lang w:val="ru-RU"/>
              </w:rPr>
              <w:t>где могут скачивать цифровые материалы для проектирования</w:t>
            </w:r>
          </w:p>
          <w:p>
            <w:pPr>
              <w:pStyle w:val="Стиль таблицы 2"/>
              <w:numPr>
                <w:ilvl w:val="0"/>
                <w:numId w:val="3"/>
              </w:numPr>
              <w:bidi w:val="0"/>
            </w:pPr>
            <w:r>
              <w:rPr>
                <w:rFonts w:cs="Arial Unicode MS" w:eastAsia="Arial Unicode MS" w:hint="default"/>
                <w:rtl w:val="0"/>
                <w:lang w:val="ru-RU"/>
              </w:rPr>
              <w:t>На сайте СРО размещена ссылка на вебинар</w:t>
            </w:r>
          </w:p>
        </w:tc>
        <w:tc>
          <w:tcPr>
            <w:tcW w:type="dxa" w:w="10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21" w:hRule="atLeast"/>
        </w:trPr>
        <w:tc>
          <w:tcPr>
            <w:tcW w:type="dxa" w:w="3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Информирование членов СРО о лучших практиках проектирования и применения ТИМ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которые предоставили компании</w:t>
            </w: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члены СРО</w:t>
            </w:r>
          </w:p>
        </w:tc>
        <w:tc>
          <w:tcPr>
            <w:tcW w:type="dxa" w:w="11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 w:hint="default"/>
                <w:rtl w:val="0"/>
              </w:rPr>
              <w:t>Онлайн</w:t>
            </w:r>
          </w:p>
        </w:tc>
        <w:tc>
          <w:tcPr>
            <w:tcW w:type="dxa" w:w="1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 w:hint="default"/>
                <w:rtl w:val="0"/>
              </w:rPr>
              <w:t>Один раз в квартал</w:t>
            </w:r>
            <w:r>
              <w:rPr>
                <w:rFonts w:ascii="Helvetica Neue" w:hAnsi="Helvetica Neue"/>
                <w:rtl w:val="0"/>
              </w:rPr>
              <w:t xml:space="preserve">. </w:t>
            </w:r>
          </w:p>
        </w:tc>
        <w:tc>
          <w:tcPr>
            <w:tcW w:type="dxa" w:w="31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numPr>
                <w:ilvl w:val="0"/>
                <w:numId w:val="4"/>
              </w:numPr>
              <w:bidi w:val="0"/>
            </w:pPr>
            <w:r>
              <w:rPr>
                <w:rFonts w:cs="Arial Unicode MS" w:eastAsia="Arial Unicode MS" w:hint="default"/>
                <w:rtl w:val="0"/>
                <w:lang w:val="ru-RU"/>
              </w:rPr>
              <w:t>Компании</w:t>
            </w:r>
            <w:r>
              <w:rPr>
                <w:rFonts w:cs="Arial Unicode MS" w:eastAsia="Arial Unicode MS"/>
                <w:rtl w:val="0"/>
                <w:lang w:val="ru-RU"/>
              </w:rPr>
              <w:t>-</w:t>
            </w:r>
            <w:r>
              <w:rPr>
                <w:rFonts w:cs="Arial Unicode MS" w:eastAsia="Arial Unicode MS" w:hint="default"/>
                <w:rtl w:val="0"/>
                <w:lang w:val="ru-RU"/>
              </w:rPr>
              <w:t>члены СРО информированы о лучших практиках</w:t>
            </w:r>
            <w:r>
              <w:rPr>
                <w:rFonts w:cs="Arial Unicode MS" w:eastAsia="Arial Unicode MS"/>
                <w:rtl w:val="0"/>
                <w:lang w:val="ru-RU"/>
              </w:rPr>
              <w:t>.</w:t>
            </w:r>
          </w:p>
          <w:p>
            <w:pPr>
              <w:pStyle w:val="Стиль таблицы 2"/>
              <w:numPr>
                <w:ilvl w:val="0"/>
                <w:numId w:val="4"/>
              </w:numPr>
              <w:bidi w:val="0"/>
            </w:pPr>
            <w:r>
              <w:rPr>
                <w:rFonts w:cs="Arial Unicode MS" w:eastAsia="Arial Unicode MS" w:hint="default"/>
                <w:rtl w:val="0"/>
                <w:lang w:val="ru-RU"/>
              </w:rPr>
              <w:t>На сайте СРО размещены ссылки на материалы от компаний</w:t>
            </w:r>
            <w:r>
              <w:rPr>
                <w:rFonts w:cs="Arial Unicode MS" w:eastAsia="Arial Unicode MS"/>
                <w:rtl w:val="0"/>
                <w:lang w:val="ru-RU"/>
              </w:rPr>
              <w:t>.</w:t>
            </w:r>
          </w:p>
          <w:p>
            <w:pPr>
              <w:pStyle w:val="Стиль таблицы 2"/>
              <w:numPr>
                <w:ilvl w:val="0"/>
                <w:numId w:val="4"/>
              </w:numPr>
              <w:bidi w:val="0"/>
            </w:pPr>
            <w:r>
              <w:rPr>
                <w:rFonts w:cs="Arial Unicode MS" w:eastAsia="Arial Unicode MS" w:hint="default"/>
                <w:rtl w:val="0"/>
                <w:lang w:val="ru-RU"/>
              </w:rPr>
              <w:t>На сайте СРО размещена ссылка на вебинар</w:t>
            </w:r>
          </w:p>
        </w:tc>
        <w:tc>
          <w:tcPr>
            <w:tcW w:type="dxa" w:w="10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41" w:hRule="atLeast"/>
        </w:trPr>
        <w:tc>
          <w:tcPr>
            <w:tcW w:type="dxa" w:w="31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Формирование рабочей группы комитета</w:t>
            </w:r>
          </w:p>
        </w:tc>
        <w:tc>
          <w:tcPr>
            <w:tcW w:type="dxa" w:w="11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 w:hint="default"/>
                <w:rtl w:val="0"/>
              </w:rPr>
              <w:t>Онлайн</w:t>
            </w:r>
          </w:p>
        </w:tc>
        <w:tc>
          <w:tcPr>
            <w:tcW w:type="dxa" w:w="12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 w:hint="default"/>
                <w:rtl w:val="0"/>
              </w:rPr>
              <w:t>Один раз в квартал</w:t>
            </w:r>
            <w:r>
              <w:rPr>
                <w:rFonts w:ascii="Helvetica Neue" w:hAnsi="Helvetica Neue"/>
                <w:rtl w:val="0"/>
              </w:rPr>
              <w:t xml:space="preserve">. </w:t>
            </w:r>
          </w:p>
        </w:tc>
        <w:tc>
          <w:tcPr>
            <w:tcW w:type="dxa" w:w="31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numPr>
                <w:ilvl w:val="0"/>
                <w:numId w:val="5"/>
              </w:numPr>
              <w:bidi w:val="0"/>
            </w:pPr>
            <w:r>
              <w:rPr>
                <w:rFonts w:cs="Arial Unicode MS" w:eastAsia="Arial Unicode MS" w:hint="default"/>
                <w:rtl w:val="0"/>
                <w:lang w:val="ru-RU"/>
              </w:rPr>
              <w:t>Сформирована рабочая группа комитета</w:t>
            </w:r>
            <w:r>
              <w:rPr>
                <w:rFonts w:cs="Arial Unicode MS" w:eastAsia="Arial Unicode MS"/>
                <w:rtl w:val="0"/>
                <w:lang w:val="ru-RU"/>
              </w:rPr>
              <w:t>.</w:t>
            </w:r>
          </w:p>
          <w:p>
            <w:pPr>
              <w:pStyle w:val="Стиль таблицы 2"/>
              <w:numPr>
                <w:ilvl w:val="0"/>
                <w:numId w:val="5"/>
              </w:numPr>
              <w:bidi w:val="0"/>
            </w:pPr>
            <w:r>
              <w:rPr>
                <w:rFonts w:cs="Arial Unicode MS" w:eastAsia="Arial Unicode MS" w:hint="default"/>
                <w:rtl w:val="0"/>
                <w:lang w:val="ru-RU"/>
              </w:rPr>
              <w:t>Проводятся совещания рабочей группы с целью выработки оптимальных политик комитета</w:t>
            </w:r>
          </w:p>
        </w:tc>
        <w:tc>
          <w:tcPr>
            <w:tcW w:type="dxa" w:w="10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Руководитель комитета по цифровизации СРО «Проектный портал» К</w:t>
      </w:r>
      <w:r>
        <w:rPr>
          <w:rtl w:val="0"/>
        </w:rPr>
        <w:t>.</w:t>
      </w:r>
      <w:r>
        <w:rPr>
          <w:rtl w:val="0"/>
        </w:rPr>
        <w:t>Г</w:t>
      </w:r>
      <w:r>
        <w:rPr>
          <w:rtl w:val="0"/>
        </w:rPr>
        <w:t xml:space="preserve">. </w:t>
      </w:r>
      <w:r>
        <w:rPr>
          <w:rtl w:val="0"/>
        </w:rPr>
        <w:t>Башиянц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1">
    <w:name w:val="Стиль таблицы 1"/>
    <w:next w:val="Стиль таблицы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